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lang w:val="en-US"/>
        </w:rPr>
      </w:pPr>
      <w:r>
        <w:rPr>
          <w:lang w:val="en-US"/>
        </w:rPr>
      </w:r>
      <w:r/>
    </w:p>
    <w:p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ALLEGATO</w:t>
      </w:r>
      <w:r>
        <w:rPr>
          <w:b/>
          <w:bCs/>
          <w:lang w:val="en-US"/>
        </w:rPr>
        <w:t xml:space="preserve"> 1</w:t>
      </w:r>
      <w:r/>
    </w:p>
    <w:p>
      <w:pPr>
        <w:jc w:val="center"/>
        <w:rPr>
          <w:lang w:val="en-US"/>
        </w:rPr>
      </w:pPr>
      <w:r>
        <w:rPr>
          <w:lang w:val="en-US"/>
        </w:rPr>
      </w:r>
      <w:r/>
    </w:p>
    <w:p>
      <w:pPr>
        <w:rPr>
          <w:lang w:val="en-US"/>
        </w:rPr>
      </w:pPr>
      <w:r>
        <w:rPr>
          <w:lang w:val="en-US"/>
        </w:rPr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List</w:t>
      </w:r>
      <w:r>
        <w:rPr>
          <w:b/>
          <w:bCs/>
        </w:rPr>
        <w:t xml:space="preserve">a</w:t>
      </w:r>
      <w:r>
        <w:rPr>
          <w:b/>
          <w:bCs/>
        </w:rPr>
        <w:t xml:space="preserve"> </w:t>
      </w:r>
      <w:r>
        <w:rPr>
          <w:b/>
          <w:bCs/>
        </w:rPr>
        <w:t xml:space="preserve">delle attività essenziali</w:t>
      </w:r>
      <w:r>
        <w:rPr>
          <w:b/>
          <w:bCs/>
        </w:rPr>
        <w:t xml:space="preserve"> (</w:t>
      </w:r>
      <w:r>
        <w:rPr>
          <w:b/>
          <w:bCs/>
        </w:rPr>
        <w:t xml:space="preserve">Estratto</w:t>
      </w:r>
      <w:r>
        <w:rPr>
          <w:b/>
          <w:bCs/>
        </w:rPr>
        <w:t xml:space="preserve">) </w:t>
      </w:r>
      <w:r>
        <w:rPr>
          <w:b/>
          <w:bCs/>
        </w:rPr>
        <w:t xml:space="preserve">elencate</w:t>
      </w:r>
      <w:r>
        <w:rPr>
          <w:b/>
          <w:bCs/>
        </w:rPr>
        <w:t xml:space="preserve"> </w:t>
      </w:r>
      <w:r>
        <w:rPr>
          <w:b/>
          <w:bCs/>
        </w:rPr>
        <w:t xml:space="preserve">nel Decreto Ministeriale</w:t>
      </w:r>
      <w:r>
        <w:rPr>
          <w:b/>
          <w:bCs/>
        </w:rPr>
        <w:t xml:space="preserve"> </w:t>
      </w:r>
      <w:r>
        <w:rPr>
          <w:b/>
          <w:bCs/>
        </w:rPr>
        <w:t xml:space="preserve">del 22 Marzo</w:t>
      </w:r>
      <w:r>
        <w:rPr>
          <w:b/>
          <w:bCs/>
        </w:rPr>
        <w:t xml:space="preserve"> </w:t>
      </w:r>
      <w:r>
        <w:rPr>
          <w:b/>
          <w:bCs/>
        </w:rPr>
        <w:t xml:space="preserve">e successive modifiche</w:t>
      </w:r>
      <w:r/>
    </w:p>
    <w:p>
      <w:r/>
      <w:r/>
    </w:p>
    <w:p>
      <w:r/>
      <w:r/>
    </w:p>
    <w:tbl>
      <w:tblPr>
        <w:tblStyle w:val="372"/>
        <w:tblW w:w="0" w:type="auto"/>
        <w:tblLook w:val="04A0" w:firstRow="1" w:lastRow="0" w:firstColumn="1" w:lastColumn="0" w:noHBand="0" w:noVBand="1"/>
      </w:tblPr>
      <w:tblGrid>
        <w:gridCol w:w="1752"/>
        <w:gridCol w:w="7876"/>
      </w:tblGrid>
      <w:tr>
        <w:trPr/>
        <w:tc>
          <w:tcPr>
            <w:tcW w:w="1809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CODICE ATECO</w:t>
            </w:r>
            <w:r/>
          </w:p>
        </w:tc>
        <w:tc>
          <w:tcPr>
            <w:tcW w:w="8451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DESCRIZIONE ATTIVITA’</w:t>
            </w:r>
            <w:r/>
          </w:p>
        </w:tc>
      </w:tr>
      <w:tr>
        <w:trPr/>
        <w:tc>
          <w:tcPr>
            <w:tcW w:w="1809" w:type="dxa"/>
            <w:textDirection w:val="lrTb"/>
            <w:noWrap w:val="false"/>
          </w:tcPr>
          <w:p>
            <w:r>
              <w:t xml:space="preserve">10</w:t>
            </w:r>
            <w:r/>
          </w:p>
        </w:tc>
        <w:tc>
          <w:tcPr>
            <w:tcW w:w="8451" w:type="dxa"/>
            <w:textDirection w:val="lrTb"/>
            <w:noWrap w:val="false"/>
          </w:tcPr>
          <w:p>
            <w:r>
              <w:t xml:space="preserve">Industrie alimentari</w:t>
            </w:r>
            <w:r/>
          </w:p>
        </w:tc>
      </w:tr>
      <w:tr>
        <w:trPr/>
        <w:tc>
          <w:tcPr>
            <w:tcW w:w="1809" w:type="dxa"/>
            <w:textDirection w:val="lrTb"/>
            <w:noWrap w:val="false"/>
          </w:tcPr>
          <w:p>
            <w:r>
              <w:t xml:space="preserve">11</w:t>
            </w:r>
            <w:r/>
          </w:p>
        </w:tc>
        <w:tc>
          <w:tcPr>
            <w:tcW w:w="8451" w:type="dxa"/>
            <w:textDirection w:val="lrTb"/>
            <w:noWrap w:val="false"/>
          </w:tcPr>
          <w:p>
            <w:r>
              <w:t xml:space="preserve">Industrie di bevande</w:t>
            </w:r>
            <w:r/>
          </w:p>
        </w:tc>
      </w:tr>
      <w:tr>
        <w:trPr/>
        <w:tc>
          <w:tcPr>
            <w:tcW w:w="1809" w:type="dxa"/>
            <w:textDirection w:val="lrTb"/>
            <w:noWrap w:val="false"/>
          </w:tcPr>
          <w:p>
            <w:r>
              <w:t xml:space="preserve">17</w:t>
            </w:r>
            <w:r/>
          </w:p>
        </w:tc>
        <w:tc>
          <w:tcPr>
            <w:tcW w:w="8451" w:type="dxa"/>
            <w:textDirection w:val="lrTb"/>
            <w:noWrap w:val="false"/>
          </w:tcPr>
          <w:p>
            <w:r>
              <w:t xml:space="preserve">Produzione di carta</w:t>
            </w:r>
            <w:r>
              <w:t xml:space="preserve">, </w:t>
            </w:r>
            <w:r>
              <w:t xml:space="preserve">con l’</w:t>
            </w:r>
            <w:r>
              <w:t xml:space="preserve">esclusione dei prodotti </w:t>
            </w:r>
            <w:r>
              <w:t xml:space="preserve">caratacei</w:t>
            </w:r>
            <w:r>
              <w:t xml:space="preserve"> per uffici</w:t>
            </w:r>
            <w:r>
              <w:t xml:space="preserve">, </w:t>
            </w:r>
            <w:r>
              <w:t xml:space="preserve">scuole</w:t>
            </w:r>
            <w:r>
              <w:t xml:space="preserve"> (17.23) </w:t>
            </w:r>
            <w:r>
              <w:t xml:space="preserve">e carta da parati</w:t>
            </w:r>
            <w:r>
              <w:t xml:space="preserve"> (17.24)</w:t>
            </w:r>
            <w:r/>
          </w:p>
        </w:tc>
      </w:tr>
      <w:tr>
        <w:trPr/>
        <w:tc>
          <w:tcPr>
            <w:tcW w:w="1809" w:type="dxa"/>
            <w:textDirection w:val="lrTb"/>
            <w:noWrap w:val="false"/>
          </w:tcPr>
          <w:p>
            <w:r>
              <w:t xml:space="preserve">19</w:t>
            </w:r>
            <w:r/>
          </w:p>
        </w:tc>
        <w:tc>
          <w:tcPr>
            <w:tcW w:w="8451" w:type="dxa"/>
            <w:textDirection w:val="lrTb"/>
            <w:noWrap w:val="false"/>
          </w:tcPr>
          <w:p>
            <w:r>
              <w:t xml:space="preserve">Fabbricazione di catrame e prodotti derivanti </w:t>
            </w:r>
            <w:r>
              <w:t xml:space="preserve">dalla raffinazione degli olii</w:t>
            </w:r>
            <w:r>
              <w:t xml:space="preserve"> (</w:t>
            </w:r>
            <w:r>
              <w:t xml:space="preserve">petrolchimico</w:t>
            </w:r>
            <w:r>
              <w:t xml:space="preserve">)</w:t>
            </w:r>
            <w:r/>
          </w:p>
        </w:tc>
      </w:tr>
      <w:tr>
        <w:trPr/>
        <w:tc>
          <w:tcPr>
            <w:tcW w:w="1809" w:type="dxa"/>
            <w:textDirection w:val="lrTb"/>
            <w:noWrap w:val="false"/>
          </w:tcPr>
          <w:p>
            <w:r>
              <w:t xml:space="preserve">20</w:t>
            </w:r>
            <w:r/>
          </w:p>
        </w:tc>
        <w:tc>
          <w:tcPr>
            <w:tcW w:w="8451" w:type="dxa"/>
            <w:textDirection w:val="lrTb"/>
            <w:noWrap w:val="false"/>
          </w:tcPr>
          <w:p>
            <w:r>
              <w:t xml:space="preserve">Produzioni di prodotti chimici</w:t>
            </w:r>
            <w:r>
              <w:t xml:space="preserve"> </w:t>
            </w:r>
            <w:r>
              <w:t xml:space="preserve">inclusi </w:t>
            </w:r>
            <w:r>
              <w:t xml:space="preserve">fertilizzanti</w:t>
            </w:r>
            <w:r>
              <w:t xml:space="preserve"> </w:t>
            </w:r>
            <w:r>
              <w:t xml:space="preserve">e materiali plastici</w:t>
            </w:r>
            <w:r>
              <w:t xml:space="preserve">, </w:t>
            </w:r>
            <w:r>
              <w:t xml:space="preserve">ma</w:t>
            </w:r>
            <w:r>
              <w:t xml:space="preserve"> con l’esclusione di vernici</w:t>
            </w:r>
            <w:r>
              <w:t xml:space="preserve">, </w:t>
            </w:r>
            <w:r>
              <w:t xml:space="preserve">pigmenti</w:t>
            </w:r>
            <w:r>
              <w:t xml:space="preserve"> (20.12); </w:t>
            </w:r>
            <w:r>
              <w:t xml:space="preserve">esplosivi</w:t>
            </w:r>
            <w:r>
              <w:t xml:space="preserve"> (20.51); </w:t>
            </w:r>
            <w:r>
              <w:t xml:space="preserve">altri prodotti chimici per usi non industriali</w:t>
            </w:r>
            <w:r>
              <w:t xml:space="preserve"> </w:t>
            </w:r>
            <w:r>
              <w:t xml:space="preserve">e per gli uffici</w:t>
            </w:r>
            <w:r>
              <w:t xml:space="preserve"> (20.59.50); </w:t>
            </w:r>
            <w:r>
              <w:t xml:space="preserve">prodotti chimici per il settore tessile</w:t>
            </w:r>
            <w:r>
              <w:t xml:space="preserve"> </w:t>
            </w:r>
            <w:r>
              <w:t xml:space="preserve">e per l’industria del cuoio</w:t>
            </w:r>
            <w:r>
              <w:t xml:space="preserve"> (20.59.60)</w:t>
            </w:r>
            <w:r/>
          </w:p>
        </w:tc>
      </w:tr>
      <w:tr>
        <w:trPr/>
        <w:tc>
          <w:tcPr>
            <w:tcW w:w="1809" w:type="dxa"/>
            <w:textDirection w:val="lrTb"/>
            <w:noWrap w:val="false"/>
          </w:tcPr>
          <w:p>
            <w:r>
              <w:t xml:space="preserve">21</w:t>
            </w:r>
            <w:r/>
          </w:p>
        </w:tc>
        <w:tc>
          <w:tcPr>
            <w:tcW w:w="8451" w:type="dxa"/>
            <w:textDirection w:val="lrTb"/>
            <w:noWrap w:val="false"/>
          </w:tcPr>
          <w:p>
            <w:r>
              <w:t xml:space="preserve">Produzione di prodotti farmaceuti</w:t>
            </w:r>
            <w:r>
              <w:t xml:space="preserve">ci di base</w:t>
            </w:r>
            <w:r>
              <w:t xml:space="preserve"> </w:t>
            </w:r>
            <w:r>
              <w:t xml:space="preserve">e preparazioni farmaceutiche</w:t>
            </w:r>
            <w:r/>
          </w:p>
        </w:tc>
      </w:tr>
      <w:tr>
        <w:trPr/>
        <w:tc>
          <w:tcPr>
            <w:tcW w:w="1809" w:type="dxa"/>
            <w:textDirection w:val="lrTb"/>
            <w:noWrap w:val="false"/>
          </w:tcPr>
          <w:p>
            <w:r>
              <w:t xml:space="preserve">28.95.00</w:t>
            </w:r>
            <w:r/>
          </w:p>
        </w:tc>
        <w:tc>
          <w:tcPr>
            <w:tcW w:w="8451" w:type="dxa"/>
            <w:textDirection w:val="lrTb"/>
            <w:noWrap w:val="false"/>
          </w:tcPr>
          <w:p>
            <w:r>
              <w:t xml:space="preserve">Fabbricazione di macchinari</w:t>
            </w:r>
            <w:r>
              <w:t xml:space="preserve"> </w:t>
            </w:r>
            <w:r>
              <w:t xml:space="preserve">per</w:t>
            </w:r>
            <w:r>
              <w:t xml:space="preserve"> le cartiere</w:t>
            </w:r>
            <w:r>
              <w:t xml:space="preserve"> (</w:t>
            </w:r>
            <w:r>
              <w:t xml:space="preserve">inclusi parti e accessori</w:t>
            </w:r>
            <w:r>
              <w:t xml:space="preserve">)</w:t>
            </w:r>
            <w:r/>
          </w:p>
        </w:tc>
      </w:tr>
      <w:tr>
        <w:trPr/>
        <w:tc>
          <w:tcPr>
            <w:tcW w:w="1809" w:type="dxa"/>
            <w:textDirection w:val="lrTb"/>
            <w:noWrap w:val="false"/>
          </w:tcPr>
          <w:p>
            <w:r>
              <w:t xml:space="preserve">33</w:t>
            </w:r>
            <w:r/>
          </w:p>
        </w:tc>
        <w:tc>
          <w:tcPr>
            <w:tcW w:w="8451" w:type="dxa"/>
            <w:textDirection w:val="lrTb"/>
            <w:noWrap w:val="false"/>
          </w:tcPr>
          <w:p>
            <w:r>
              <w:t xml:space="preserve">Riparazione e manutenzione die macchinari</w:t>
            </w:r>
            <w:r>
              <w:t xml:space="preserve"> (</w:t>
            </w:r>
            <w:r>
              <w:t xml:space="preserve">le pompe sono incluse</w:t>
            </w:r>
            <w:r>
              <w:t xml:space="preserve">)</w:t>
            </w:r>
            <w:r/>
          </w:p>
        </w:tc>
      </w:tr>
      <w:tr>
        <w:trPr/>
        <w:tc>
          <w:tcPr>
            <w:tcW w:w="1809" w:type="dxa"/>
            <w:textDirection w:val="lrTb"/>
            <w:noWrap w:val="false"/>
          </w:tcPr>
          <w:p>
            <w:r>
              <w:t xml:space="preserve">36</w:t>
            </w:r>
            <w:r/>
          </w:p>
        </w:tc>
        <w:tc>
          <w:tcPr>
            <w:tcW w:w="8451" w:type="dxa"/>
            <w:textDirection w:val="lrTb"/>
            <w:noWrap w:val="false"/>
          </w:tcPr>
          <w:p>
            <w:r>
              <w:t xml:space="preserve">Raccolta</w:t>
            </w:r>
            <w:r>
              <w:t xml:space="preserve">, </w:t>
            </w:r>
            <w:r>
              <w:t xml:space="preserve">trattamento e distribuz</w:t>
            </w:r>
            <w:r>
              <w:t xml:space="preserve">ione di acqua</w:t>
            </w:r>
            <w:r>
              <w:t xml:space="preserve"> </w:t>
            </w:r>
            <w:r>
              <w:t xml:space="preserve">per uso industriale e da bere</w:t>
            </w:r>
            <w:r/>
          </w:p>
        </w:tc>
      </w:tr>
      <w:tr>
        <w:trPr/>
        <w:tc>
          <w:tcPr>
            <w:tcW w:w="1809" w:type="dxa"/>
            <w:textDirection w:val="lrTb"/>
            <w:noWrap w:val="false"/>
          </w:tcPr>
          <w:p>
            <w:r>
              <w:t xml:space="preserve">37</w:t>
            </w:r>
            <w:r/>
          </w:p>
        </w:tc>
        <w:tc>
          <w:tcPr>
            <w:tcW w:w="8451" w:type="dxa"/>
            <w:textDirection w:val="lrTb"/>
            <w:noWrap w:val="false"/>
          </w:tcPr>
          <w:p>
            <w:r>
              <w:t xml:space="preserve">Trattamento acque reflue</w:t>
            </w:r>
            <w:r/>
          </w:p>
        </w:tc>
      </w:tr>
      <w:tr>
        <w:trPr/>
        <w:tc>
          <w:tcPr>
            <w:tcW w:w="1809" w:type="dxa"/>
            <w:textDirection w:val="lrTb"/>
            <w:noWrap w:val="false"/>
          </w:tcPr>
          <w:p>
            <w:r>
              <w:t xml:space="preserve">38</w:t>
            </w:r>
            <w:r/>
          </w:p>
        </w:tc>
        <w:tc>
          <w:tcPr>
            <w:tcW w:w="8451" w:type="dxa"/>
            <w:textDirection w:val="lrTb"/>
            <w:noWrap w:val="false"/>
          </w:tcPr>
          <w:p>
            <w:r>
              <w:t xml:space="preserve">Attività di raccolta, trattamento e smaltimento dei rifiu</w:t>
            </w:r>
            <w:r>
              <w:t xml:space="preserve">ti; recupero dei materiali</w:t>
            </w:r>
            <w:r/>
          </w:p>
        </w:tc>
      </w:tr>
    </w:tbl>
    <w:p>
      <w:r/>
      <w:r/>
    </w:p>
    <w:sectPr>
      <w:footnotePr/>
      <w:type w:val="nextPage"/>
      <w:pgSz w:w="11906" w:h="16838" w:orient="portrait"/>
      <w:pgMar w:top="1417" w:right="1134" w:bottom="1134" w:left="1134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it-IT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68"/>
    <w:next w:val="36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6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68"/>
    <w:next w:val="3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6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68"/>
    <w:next w:val="3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6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68"/>
    <w:next w:val="3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6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6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6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6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6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6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6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69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69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69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69"/>
    <w:link w:val="42"/>
    <w:uiPriority w:val="99"/>
  </w:style>
  <w:style w:type="table" w:styleId="45">
    <w:name w:val="Table Grid Light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69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  <w:rPr>
      <w:rFonts w:ascii="Arial" w:hAnsi="Arial" w:cs="Times New Roman" w:eastAsia="Times New Roman"/>
      <w:sz w:val="24"/>
      <w:szCs w:val="20"/>
      <w:lang w:eastAsia="it-IT"/>
    </w:rPr>
    <w:pPr>
      <w:spacing w:lineRule="auto" w:line="240" w:after="0"/>
    </w:pPr>
  </w:style>
  <w:style w:type="character" w:styleId="369" w:default="1">
    <w:name w:val="Default Paragraph Font"/>
    <w:uiPriority w:val="1"/>
    <w:semiHidden/>
    <w:unhideWhenUsed/>
  </w:style>
  <w:style w:type="table" w:styleId="3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1" w:default="1">
    <w:name w:val="No List"/>
    <w:uiPriority w:val="99"/>
    <w:semiHidden/>
    <w:unhideWhenUsed/>
  </w:style>
  <w:style w:type="table" w:styleId="372">
    <w:name w:val="Table Grid"/>
    <w:basedOn w:val="370"/>
    <w:rPr>
      <w:rFonts w:ascii="Times New Roman" w:hAnsi="Times New Roman" w:cs="Times New Roman" w:eastAsia="Times New Roman"/>
      <w:sz w:val="20"/>
      <w:szCs w:val="20"/>
      <w:lang w:eastAsia="it-IT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373" w:customStyle="1">
    <w:name w:val="tlid-translation"/>
    <w:basedOn w:val="369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Pogliani</dc:creator>
  <cp:keywords/>
  <dc:description/>
  <cp:revision>2</cp:revision>
  <dcterms:created xsi:type="dcterms:W3CDTF">2020-04-01T08:43:00Z</dcterms:created>
  <dcterms:modified xsi:type="dcterms:W3CDTF">2020-04-01T12:20:49Z</dcterms:modified>
</cp:coreProperties>
</file>